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14" w:rsidRPr="006F7714" w:rsidRDefault="006F7714" w:rsidP="006F7714">
      <w:pPr>
        <w:spacing w:before="390" w:after="540" w:line="312" w:lineRule="atLeast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111111"/>
          <w:szCs w:val="24"/>
          <w:lang w:eastAsia="ru-RU"/>
        </w:rPr>
      </w:pPr>
      <w:r w:rsidRPr="006F7714">
        <w:rPr>
          <w:rFonts w:ascii="Helvetica" w:eastAsia="Times New Roman" w:hAnsi="Helvetica" w:cs="Helvetica"/>
          <w:b/>
          <w:bCs/>
          <w:color w:val="111111"/>
          <w:szCs w:val="24"/>
          <w:lang w:eastAsia="ru-RU"/>
        </w:rPr>
        <w:t>Правительство утвердило Концепцию развития дополнительного образования детей до 2030 года</w:t>
      </w:r>
    </w:p>
    <w:p w:rsidR="006F7714" w:rsidRPr="006F7714" w:rsidRDefault="006F7714" w:rsidP="006F7714">
      <w:pPr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7B7B7B"/>
          <w:szCs w:val="24"/>
          <w:lang w:eastAsia="ru-RU"/>
        </w:rPr>
      </w:pPr>
      <w:r w:rsidRPr="006F7714">
        <w:rPr>
          <w:rFonts w:ascii="Helvetica" w:eastAsia="Times New Roman" w:hAnsi="Helvetica" w:cs="Helvetica"/>
          <w:color w:val="7B7B7B"/>
          <w:szCs w:val="24"/>
          <w:bdr w:val="none" w:sz="0" w:space="0" w:color="auto" w:frame="1"/>
          <w:lang w:eastAsia="ru-RU"/>
        </w:rPr>
        <w:t>2 апреля 2022</w:t>
      </w:r>
      <w:r w:rsidRPr="006F7714">
        <w:rPr>
          <w:rFonts w:ascii="Helvetica" w:eastAsia="Times New Roman" w:hAnsi="Helvetica" w:cs="Helvetica"/>
          <w:color w:val="7B7B7B"/>
          <w:szCs w:val="24"/>
          <w:lang w:eastAsia="ru-RU"/>
        </w:rPr>
        <w:t> </w:t>
      </w:r>
      <w:r w:rsidRPr="006F7714">
        <w:rPr>
          <w:rFonts w:ascii="Helvetica" w:eastAsia="Times New Roman" w:hAnsi="Helvetica" w:cs="Helvetica"/>
          <w:color w:val="7B7B7B"/>
          <w:szCs w:val="24"/>
          <w:bdr w:val="none" w:sz="0" w:space="0" w:color="auto" w:frame="1"/>
          <w:lang w:eastAsia="ru-RU"/>
        </w:rPr>
        <w:t>10:00</w:t>
      </w:r>
    </w:p>
    <w:p w:rsidR="006F7714" w:rsidRPr="006F7714" w:rsidRDefault="006F7714" w:rsidP="006F7714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11111"/>
          <w:szCs w:val="24"/>
          <w:lang w:eastAsia="ru-RU"/>
        </w:rPr>
      </w:pPr>
      <w:hyperlink r:id="rId6" w:tgtFrame="_blank" w:tooltip="Дополнительное образование детей" w:history="1">
        <w:r w:rsidRPr="006F7714">
          <w:rPr>
            <w:rFonts w:ascii="Arial" w:eastAsia="Times New Roman" w:hAnsi="Arial" w:cs="Arial"/>
            <w:color w:val="204E8A"/>
            <w:szCs w:val="24"/>
            <w:u w:val="single"/>
            <w:bdr w:val="none" w:sz="0" w:space="0" w:color="auto" w:frame="1"/>
            <w:lang w:eastAsia="ru-RU"/>
          </w:rPr>
          <w:t>Дополнительное образование детей</w:t>
        </w:r>
      </w:hyperlink>
    </w:p>
    <w:p w:rsidR="006F7714" w:rsidRPr="006F7714" w:rsidRDefault="006F7714" w:rsidP="006F7714">
      <w:pPr>
        <w:spacing w:after="0" w:line="240" w:lineRule="auto"/>
        <w:jc w:val="both"/>
        <w:textAlignment w:val="baseline"/>
        <w:rPr>
          <w:rFonts w:ascii="Georgia" w:eastAsia="Times New Roman" w:hAnsi="Georgia" w:cs="Helvetica"/>
          <w:i/>
          <w:iCs/>
          <w:color w:val="000000"/>
          <w:szCs w:val="24"/>
          <w:lang w:eastAsia="ru-RU"/>
        </w:rPr>
      </w:pPr>
      <w:r w:rsidRPr="006F7714">
        <w:rPr>
          <w:rFonts w:ascii="Georgia" w:eastAsia="Times New Roman" w:hAnsi="Georgia" w:cs="Helvetica"/>
          <w:i/>
          <w:iCs/>
          <w:color w:val="000000"/>
          <w:szCs w:val="24"/>
          <w:lang w:eastAsia="ru-RU"/>
        </w:rPr>
        <w:t>Распоряжение от 31 марта 2022 года №678-р</w:t>
      </w:r>
    </w:p>
    <w:p w:rsidR="006F7714" w:rsidRPr="006F7714" w:rsidRDefault="006F7714" w:rsidP="006F7714">
      <w:pPr>
        <w:pBdr>
          <w:top w:val="single" w:sz="6" w:space="8" w:color="DCDCDC"/>
          <w:left w:val="single" w:sz="2" w:space="0" w:color="DCDCDC"/>
          <w:bottom w:val="single" w:sz="6" w:space="9" w:color="DCDCDC"/>
          <w:right w:val="single" w:sz="2" w:space="0" w:color="DCDCDC"/>
        </w:pBdr>
        <w:spacing w:after="345" w:line="240" w:lineRule="auto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Cs w:val="24"/>
          <w:lang w:eastAsia="ru-RU"/>
        </w:rPr>
      </w:pPr>
      <w:r w:rsidRPr="006F7714">
        <w:rPr>
          <w:rFonts w:ascii="Helvetica" w:eastAsia="Times New Roman" w:hAnsi="Helvetica" w:cs="Helvetica"/>
          <w:b/>
          <w:bCs/>
          <w:color w:val="333333"/>
          <w:szCs w:val="24"/>
          <w:lang w:eastAsia="ru-RU"/>
        </w:rPr>
        <w:t>Документ</w:t>
      </w:r>
    </w:p>
    <w:p w:rsidR="006F7714" w:rsidRPr="006F7714" w:rsidRDefault="006F7714" w:rsidP="006F7714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Helvetica" w:eastAsia="Times New Roman" w:hAnsi="Helvetica" w:cs="Helvetica"/>
          <w:color w:val="111111"/>
          <w:szCs w:val="24"/>
          <w:lang w:eastAsia="ru-RU"/>
        </w:rPr>
      </w:pPr>
      <w:hyperlink r:id="rId7" w:tgtFrame="_blank" w:history="1">
        <w:r w:rsidRPr="006F7714">
          <w:rPr>
            <w:rFonts w:ascii="Helvetica" w:eastAsia="Times New Roman" w:hAnsi="Helvetica" w:cs="Helvetica"/>
            <w:b/>
            <w:bCs/>
            <w:color w:val="D71808"/>
            <w:szCs w:val="24"/>
            <w:u w:val="single"/>
            <w:bdr w:val="none" w:sz="0" w:space="0" w:color="auto" w:frame="1"/>
            <w:lang w:eastAsia="ru-RU"/>
          </w:rPr>
          <w:t>PDF</w:t>
        </w:r>
      </w:hyperlink>
    </w:p>
    <w:p w:rsidR="006F7714" w:rsidRPr="006F7714" w:rsidRDefault="006F7714" w:rsidP="006F7714">
      <w:pPr>
        <w:spacing w:after="75" w:line="195" w:lineRule="atLeast"/>
        <w:jc w:val="both"/>
        <w:textAlignment w:val="baseline"/>
        <w:rPr>
          <w:rFonts w:ascii="Arial" w:eastAsia="Times New Roman" w:hAnsi="Arial" w:cs="Arial"/>
          <w:i/>
          <w:iCs/>
          <w:color w:val="7B7B7B"/>
          <w:szCs w:val="24"/>
          <w:lang w:eastAsia="ru-RU"/>
        </w:rPr>
      </w:pPr>
      <w:r w:rsidRPr="006F7714">
        <w:rPr>
          <w:rFonts w:ascii="Arial" w:eastAsia="Times New Roman" w:hAnsi="Arial" w:cs="Arial"/>
          <w:i/>
          <w:iCs/>
          <w:color w:val="7B7B7B"/>
          <w:szCs w:val="24"/>
          <w:lang w:eastAsia="ru-RU"/>
        </w:rPr>
        <w:t>474Kb</w:t>
      </w:r>
    </w:p>
    <w:p w:rsidR="006F7714" w:rsidRPr="006F7714" w:rsidRDefault="006F7714" w:rsidP="006F7714">
      <w:pPr>
        <w:spacing w:before="105" w:after="105" w:line="270" w:lineRule="atLeast"/>
        <w:ind w:left="1785"/>
        <w:jc w:val="both"/>
        <w:textAlignment w:val="baseline"/>
        <w:outlineLvl w:val="2"/>
        <w:rPr>
          <w:rFonts w:ascii="Helvetica" w:eastAsia="Times New Roman" w:hAnsi="Helvetica" w:cs="Helvetica"/>
          <w:color w:val="111111"/>
          <w:szCs w:val="24"/>
          <w:lang w:eastAsia="ru-RU"/>
        </w:rPr>
      </w:pPr>
      <w:r w:rsidRPr="006F7714">
        <w:rPr>
          <w:rFonts w:ascii="Helvetica" w:eastAsia="Times New Roman" w:hAnsi="Helvetica" w:cs="Helvetica"/>
          <w:color w:val="111111"/>
          <w:szCs w:val="24"/>
          <w:lang w:eastAsia="ru-RU"/>
        </w:rPr>
        <w:t>Распоряжение от 31 марта 2022 года №678-р</w:t>
      </w:r>
    </w:p>
    <w:p w:rsidR="006F7714" w:rsidRPr="006F7714" w:rsidRDefault="006F7714" w:rsidP="006F7714">
      <w:pPr>
        <w:spacing w:after="0" w:line="240" w:lineRule="auto"/>
        <w:jc w:val="both"/>
        <w:textAlignment w:val="baseline"/>
        <w:rPr>
          <w:rFonts w:ascii="Georgia" w:eastAsia="Times New Roman" w:hAnsi="Georgia" w:cs="Helvetica"/>
          <w:color w:val="111111"/>
          <w:szCs w:val="24"/>
          <w:lang w:eastAsia="ru-RU"/>
        </w:rPr>
      </w:pPr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 xml:space="preserve">К 2030 году в России полностью обновится система дополнительного образования </w:t>
      </w:r>
      <w:proofErr w:type="gramStart"/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детей</w:t>
      </w:r>
      <w:proofErr w:type="gramEnd"/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 xml:space="preserve"> и будут созданы необходимые условия для самореализации и развития молодых талантов. Это предусмотрено Концепцией развития дополнительного образования, которую утвердил Председатель Правительства Михаил </w:t>
      </w:r>
      <w:proofErr w:type="spellStart"/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Мишустин</w:t>
      </w:r>
      <w:proofErr w:type="spellEnd"/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.</w:t>
      </w:r>
    </w:p>
    <w:p w:rsidR="006F7714" w:rsidRPr="006F7714" w:rsidRDefault="006F7714" w:rsidP="006F7714">
      <w:pPr>
        <w:spacing w:after="0" w:line="240" w:lineRule="auto"/>
        <w:jc w:val="both"/>
        <w:textAlignment w:val="baseline"/>
        <w:rPr>
          <w:rFonts w:ascii="Georgia" w:eastAsia="Times New Roman" w:hAnsi="Georgia" w:cs="Helvetica"/>
          <w:color w:val="111111"/>
          <w:szCs w:val="24"/>
          <w:lang w:eastAsia="ru-RU"/>
        </w:rPr>
      </w:pPr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Концепция будет реализовываться в два этапа: с 2022 по 2024 год и с 2025 по 2030 год. В первую очередь в рамках концепции планируется распространить целевую модель развития дополнительного образования по всей стране. Сейчас такая модель применяется в 72 регионах. Она предполагает переход на персонифицированное финансирование – выдачу специальных сертификатов, по которым ребёнок может посещать кружки и секции бесплатно.</w:t>
      </w:r>
    </w:p>
    <w:p w:rsidR="006F7714" w:rsidRPr="006F7714" w:rsidRDefault="006F7714" w:rsidP="006F7714">
      <w:pPr>
        <w:spacing w:after="0" w:line="240" w:lineRule="auto"/>
        <w:jc w:val="both"/>
        <w:textAlignment w:val="baseline"/>
        <w:rPr>
          <w:rFonts w:ascii="Georgia" w:eastAsia="Times New Roman" w:hAnsi="Georgia" w:cs="Helvetica"/>
          <w:color w:val="111111"/>
          <w:szCs w:val="24"/>
          <w:lang w:eastAsia="ru-RU"/>
        </w:rPr>
      </w:pPr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Также планируется создать новые учебные места и обновить инфраструктуру системы дополнительного образования – провести капитальный ремонт или реконструкцию зданий, закупить новое оборудование, внедрить цифровые сервисы и современный контент. Регионам на эти цели будут предоставлены субсидии из федерального бюджета.</w:t>
      </w:r>
    </w:p>
    <w:p w:rsidR="006F7714" w:rsidRPr="006F7714" w:rsidRDefault="006F7714" w:rsidP="006F7714">
      <w:pPr>
        <w:spacing w:after="0" w:line="240" w:lineRule="auto"/>
        <w:jc w:val="both"/>
        <w:textAlignment w:val="baseline"/>
        <w:rPr>
          <w:rFonts w:ascii="Georgia" w:eastAsia="Times New Roman" w:hAnsi="Georgia" w:cs="Helvetica"/>
          <w:color w:val="111111"/>
          <w:szCs w:val="24"/>
          <w:lang w:eastAsia="ru-RU"/>
        </w:rPr>
      </w:pPr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 xml:space="preserve">Кроме того, предполагается создание и развитие сети технологических кружков, где будут готовить будущих учёных и инженеров, открытие новых школьных музеев, театров, спортивных клубов и </w:t>
      </w:r>
      <w:proofErr w:type="spellStart"/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медиацентров</w:t>
      </w:r>
      <w:proofErr w:type="spellEnd"/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. Будут разработаны новые туристические маршруты, во время которых школьники смогут познакомиться с историей, культурой и традициями своего региона.</w:t>
      </w:r>
    </w:p>
    <w:p w:rsidR="006F7714" w:rsidRPr="006F7714" w:rsidRDefault="006F7714" w:rsidP="006F7714">
      <w:pPr>
        <w:spacing w:after="0" w:line="240" w:lineRule="auto"/>
        <w:jc w:val="both"/>
        <w:textAlignment w:val="baseline"/>
        <w:rPr>
          <w:rFonts w:ascii="Georgia" w:eastAsia="Times New Roman" w:hAnsi="Georgia" w:cs="Helvetica"/>
          <w:color w:val="111111"/>
          <w:szCs w:val="24"/>
          <w:lang w:eastAsia="ru-RU"/>
        </w:rPr>
      </w:pPr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Особое внимание в концепции уделено детям с инвалидностью и их вовлечению в систему дополнительного образования. В образовательных организациях продолжится работа по созданию всех необходимых условий.</w:t>
      </w:r>
    </w:p>
    <w:p w:rsidR="006F7714" w:rsidRPr="006F7714" w:rsidRDefault="006F7714" w:rsidP="006F7714">
      <w:pPr>
        <w:spacing w:after="0" w:line="240" w:lineRule="auto"/>
        <w:jc w:val="both"/>
        <w:textAlignment w:val="baseline"/>
        <w:rPr>
          <w:rFonts w:ascii="Georgia" w:eastAsia="Times New Roman" w:hAnsi="Georgia" w:cs="Helvetica"/>
          <w:color w:val="111111"/>
          <w:szCs w:val="24"/>
          <w:lang w:eastAsia="ru-RU"/>
        </w:rPr>
      </w:pPr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К самому образовательному процессу планируется активно привлекать молодых специалистов, в том числе для обучения детей в сельской местности. Для молодых специалистов будут разработаны дополнительные меры поддержки.</w:t>
      </w:r>
    </w:p>
    <w:p w:rsidR="006F7714" w:rsidRPr="006F7714" w:rsidRDefault="006F7714" w:rsidP="006F7714">
      <w:pPr>
        <w:spacing w:after="0" w:line="240" w:lineRule="auto"/>
        <w:jc w:val="both"/>
        <w:textAlignment w:val="baseline"/>
        <w:rPr>
          <w:rFonts w:ascii="Georgia" w:eastAsia="Times New Roman" w:hAnsi="Georgia" w:cs="Helvetica"/>
          <w:color w:val="111111"/>
          <w:szCs w:val="24"/>
          <w:lang w:eastAsia="ru-RU"/>
        </w:rPr>
      </w:pPr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 xml:space="preserve">Утвердить Концепцию развития дополнительного образования Правительству поручил Президент по итогам заседания Совета по реализации государственной политики в сфере защиты семьи и детей, </w:t>
      </w:r>
      <w:proofErr w:type="gramStart"/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>которое</w:t>
      </w:r>
      <w:proofErr w:type="gramEnd"/>
      <w:r w:rsidRPr="006F7714">
        <w:rPr>
          <w:rFonts w:ascii="Georgia" w:eastAsia="Times New Roman" w:hAnsi="Georgia" w:cs="Helvetica"/>
          <w:color w:val="111111"/>
          <w:szCs w:val="24"/>
          <w:lang w:eastAsia="ru-RU"/>
        </w:rPr>
        <w:t xml:space="preserve"> состоялось 1 июня 2021 года.</w:t>
      </w:r>
    </w:p>
    <w:p w:rsidR="00D47540" w:rsidRPr="006F7714" w:rsidRDefault="00D47540" w:rsidP="006F7714">
      <w:pPr>
        <w:jc w:val="both"/>
        <w:rPr>
          <w:szCs w:val="24"/>
        </w:rPr>
      </w:pPr>
      <w:bookmarkStart w:id="0" w:name="_GoBack"/>
      <w:bookmarkEnd w:id="0"/>
    </w:p>
    <w:sectPr w:rsidR="00D47540" w:rsidRPr="006F7714" w:rsidSect="00DF50B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DC9"/>
    <w:multiLevelType w:val="multilevel"/>
    <w:tmpl w:val="180E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56309"/>
    <w:multiLevelType w:val="multilevel"/>
    <w:tmpl w:val="2CF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1D"/>
    <w:rsid w:val="006F7714"/>
    <w:rsid w:val="007F4E1D"/>
    <w:rsid w:val="00D47540"/>
    <w:rsid w:val="00D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5596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450203846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2123836351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  <w:div w:id="2038002364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3091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tic.government.ru/media/files/3fIgkklAJ2ENBbCFVEkA3cTOsiypicB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rugovclassifier/5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>diakov.net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2022-10-14T05:17:00Z</dcterms:created>
  <dcterms:modified xsi:type="dcterms:W3CDTF">2022-10-14T05:17:00Z</dcterms:modified>
</cp:coreProperties>
</file>